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17.12.2020, оставленным без изменения постановлением Первого арбитражного апелляционного суда от 22.03.2021 и постановлением Арбитражного суда Волго-Вятского округа от 13.09.2021, в удовлетворении заявления отказано. В кассационной жалобе банк просит об отмене судебных актов, ссылаясь на нарушение утвержденного судом Положения о порядке, сроках и условиях продажи имущества (далее – Положение).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нарушений процедуры проведения торгов, соответствие торгов Положению, неиспользование банком права на оставление имущества за сбой после признания повторных торгов несостоявшимися, продажу имущества по наибольшей цене и достижение цели торгов в качестве обстоятельств для отказа в признании торгов недействительными.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«Совкомбанк»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