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25.03.2021, оставленным без изменения постановлением Семнадцатого арбитражного апелляционного суда от 02.06.2021 и постановлением Арбитражного суда Уральского округа от 23.09.2021, заявление удовлетворено. В кассационной жалобе общество «Гардинер Ресорсиз Раша» просит об отмене судебных актов, ссылаясь на неосновательное неприменение правила о понижении очередности к заявленному требованию и игнорирование довода о мнимости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предоставления должнику займов и обстоятельства, следующие из процедур банкротства контролируемых должником лиц в том числе общества «Слон Финанс», и установили отражение в отчетности передаваемых должнику денежных средств, полученных от физических лиц, являющихся кредиторами в деле о банкротстве общества, что обусловило выводы о реальном характере сделок и обоснованности требуемой к включению в реестр суммы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Правило о понижении очередности правомерно не применено в процедуре банкротства физического лица.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«Гардинер Ресорсиз Раша»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