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17.03.2021, оставленным без изменения постановлением Четвертого арбитражного 2 апелляционного суда от 25.05.2021 и постановлением Арбитражного суда Восточно-Сибирского округа от 16.09.2021,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корпорация,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первоначальные исковые требования и отказывая в удовлетворении встречного иска, суды первой и апелляционной инстанций, с которыми впоследствии согласился суд округа, руководствовались положениями статей 395, 886, 896, 899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установленных обстоятельств, свидетельствующих о наличии у корпорации обязанности по выплате обществу вознаграждения за хранения пшеницы и отсутствии оснований для взыскания с последнего неустойки за просрочку переданного на хранение имущества. Выводы судов подробно мотивированы в обжалуемых судебных актах.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«Иркутская продовольственная корпорация»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