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25.02.2021, оставленным без изменения постановлением Девятого арбитражного апелляционного суда от 24.05.2021 и постановлением Арбитражного суда Московского округа от 15.09.2021, иск удовлетворен. В кассационной жалобе фирма просит отменить судебные акты, ссылаясь на недоказанность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Суды, установив оказание истцом услуг по договору от 09.01.2018 № 48/18 и неоплату их ответчиком при несоблюдении предусмотренного договором порядка выдвижения возражений, удовлетворили иск в соответствии со статьями 779, 781 Гражданского кодекса Российской Федерации.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«Фирма «Август»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