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кассационной жалобой в Верховный Суд Российской Федерации на указанный судебный акт, приложив ходатайство о восстановлении срока ее подачи. В соответствии с частью 1 статьи 291.2 Арбитражного процессуального кодекса Российской Федерации (далее - АПК РФ)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Согласно части 2 статьи 291.2 АПК РФ срок подачи кассационной жалобы, пропущенный по причинам, не зависящим от лица, обратившегося с такой 2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Рассмотрев заявленное ходатайство, судья пришел к выводу о наличии оснований для его удовлетворения, поскольку первоначально кассационная жалоба подана в установленные законом сроки, недостатки, послужившие основанием для ее возвращения устранены, и заявителем не пропущен установленный законом предельный срок для обращения с ходатайством о восстановлении срока подачи кассационной жалобы. На основании изложенного, руководствуясь статьями 117, 184, 185, 291.2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«Композит» о восстановлении пропущенного срока подачи кассационной жалобы на постановление Арбитражного суда Северо-Западного округа от 07.10.2021 по делу № А56-113898/2019 удовлетворить, срок восстановить. Судья Верховного Суда Борисова Е.Е.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