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18.08.2020, принятым в порядке упрощенного производства, исковые требования удовлетворены. Определением Девятого арбитражного апелляционного суда от 13.11.2020 суд перешел к рассмотрению дела по общим правилам искового производства, установленным для рассмотрения дел в суде первой инстанции. Постановлением Девятого арбитражного апелляционного суда от 30.06.2021, оставленным без изменения постановлением Арбитражного суда Московского округа от 14.09.2021, решение от 18.08.2020 отменено, в удовлетворении иска отказано. В кассационной жалобе общество просит об отмене судебных актов апелляционного и окружного судов, ссылаясь на ненадлежащую оценку доказательств и подтвержденность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от 10.04.2019 № 00388 и применив к ним статьи 431, 779, 781 Гражданского кодекса Российской Федерации, суды признали недоказанность оказания обществом услуг на заявленную сумму. Обстоятельства, связанные с доказыванием и оценкой доказательств, не образуют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«ФЛАНТ»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