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с кассационной жалобой в Верховный Суд Российской Федерации на указанные судебные акты, приложив ходатайство о восстановлении срока ее подачи. В соответствии с частью 1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2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заявленное ходатайство, судья пришел к выводу о наличии оснований для его удовлетворения, поскольку первоначально кассационная жалоба подана в установленные законом сроки, недостатки, послужившие основанием для ее возвращения устранены, и заявителем не пропущен установленный законом предельный срок для обращения с ходатайством о восстановлении срока подачи кассационной жалобы. На основании изложенного, руководствуясь статьями 117, 184, 185, 291.2 АПК РФ,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«ГСП-4» о восстановлении пропущенного срока подачи кассационной жалобы на постановление Тринадцатого арбитражного апелляционного суда от 26.05.2021 и постановление Арбитражного суда Северо –Западного округа от 27.10.2021 по делу № А56-52196/2020 удовлетворить, срок восстановить. Судья Верховного Суда Борисова Е.Е.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