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Четвертого арбитражного апелляционного суда от 10.06.2021, оставленным без изменения постановлением Арбитражного суда Восточно- Сибирского округа от 15.09.2021, апелляционная жалоба на определение Арбитражного суда Иркутской области от 27.04.2021 возвращена кредитору на основании пункта 3 части 1 статьи 264 Арбитражного процессуального кодекса Российской Федерации в связи с пропуском срока подачи и отсутствием ходатайства о его восстановлении. В кассационной жалобе Хороших А.А. просит отменить судебные акты о возвращении апелляционной жалобы ссылаясь на неверное исчисление судом срока на подачу апелляционной жалобы.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установив, что Хороших А.А. пропущен установленный законом срок для подачи жалобы, а ходатайство о его восстановлении не заявлено, руководствуясь пунктом 3 части 1 статьи 264 Арбитражного процессуального кодекса Российской Федерации, правомерно возвратил апелляционную жалобу заявителю. Ошибочность мнения заявителя в отношении исчисления срока на обжалование обоснована окружным судом, приведенный в жалобе такой же довод заявителя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Хороших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