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«Югстройсервис» (далее – Общество) обратилось в Арбитражный суд Краснодарского края с иском к закрытому акционерному обществу «Черноморкурортпроект» (далее – Компания) о взыскании 1 128 887 рублей 49 копеек задолженности за управление, техническое обслуживание, содержание общедомового имущества, текущий ремонт и стоимость коммунальных ресурсов, потребленных в целях содержания общедомового имущества. Решением Арбитражного суда Краснодарского края от 22.08.2019, оставленным без изменения постановлением Пятнадцатого арбитражного апелляционного суда от 17.01.2020, требования удовлетворены в полном объеме. Постановлением Арбитражного суда Северо-Кавказского округа от 22.06.2020 решение от 22.08.2019 и апелляционное постановление от 17.01.2020 отменены, дело направлено на новое рассмотрение в Арбитражный суд Краснодарского края. Решением Арбитражного суда Краснодарского края от 24.03.2021 в удовлетворении иска отказано. Постановлением Пятнадцатого арбитражного апелляционного суда от 17.08.2021, оставленным без изменения постановлением Арбитражного суда Северо-Кавказского округа от 20.10.2021, решение от 24.03.2021 изменено: с Компании в пользу Общества взыскано 383 756 рублей 85 копеек задолженности за период с 23.04.2016 по 30.04.2019; в удовлетворении остальной части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настаивает, что подписывая договор, Компания фактически признала наличие задолженности, ввиду чего срок исковой давности не подлежит применению.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решения общего собрания собственников помещений Общество является управляющей организацией многоквартирным домом (далее – МКД), расположенным по адресу: &lt;...&gt;. Общество и Компания заключили договор управления МКД от 15.04.2016 № 13Н/2016, по условиям которого исполнитель по заданию собственника нежилых помещений № 1-21, 28-44, 46, 49-56, общей площадью 1658,7 кв. м, за плату обязуется оказывать услуги по управлению МКД, надлежащему содержанию и ремонту общего имущества, согласно перечню работ и услуг (приложение № 1), а собственник обязуется оплачивать оказанные услуги в порядке и сроки согласно условиям настоящего договора (пункт 1.1 договора). Общество начислило Компании долг в сумме 1 128 887 рублей 49 копеек, применив с 01.04.2011 по 30.04.2016 тариф 8 рублей 41 копейку, а с 01.05.2016 по 31.03.2019 – 15 рублей. Уклонение Компании от добровольного погашения долга послужило основанием для обращения Общества в арбитражный суд с соответствующими требованиями. Отказывая в удовлетворении иска, суд первой инстанции исходил из истечения срока исковой давности по заявленным требованиям, признав расчет долга недостоверным. Повторно исследовав и оценив по правилам статьи 71 АПК РФ представленные доказательства, руководствуясь статьями 158 , 202 , 210 , 249 , 290 Гражданского кодекса Российской Федерации, статьями 36 , 155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суд апелляционной инстанции, с выводами которого согласился суд округа, изменил решение суда первой инстанции и частично удовлетворил заявленные требования, установив наличие задолженности за оказанные услуги за период с 23.04.2016 по 30.04.2019, признав истекшим срок исковой давности за предшествующий период. Проанализировав пункт 9.1 договора от 15.04.2016, предусматривающий, что обязательства по оплате расходов при управлении МКД распространяются на правоотношения, возникшие с 01.04.2011, апелляционный суд пришел к выводу о том , что из условий договора и поведения ответчика не следует, что Компания признала задолженность за весь спорный период, возникший с 01.04.2011, поскольку условия договора и иные документы не содержат информации о признании ответчиком конкретной суммы долга. Произведенные Компанией платежи, как правильно указали суды, не влекут последствий в виде нового исчисления срока исковой давности по иным периодам. Доводы, приведенные заявителем, не опровергают выводов судов, направлены на переоценку установленных судами фактических обстоятельств и выражают несогласие с произведенной оценкой доказательств.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«Югстройсервис»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"ЮгСтройСервис" (подробнее) Ответчики: ЗАО "Черноморкурортпроект" (подробнее) Судебная практика по: Исковая давность, по срокам давности Судебная практика по применению норм ст. 200, 202, 204, 205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