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16.12.2019, оставленным без изменения постановлением Тринадцатого арбитражного апелляционного суда от 14.07.2021 и постановлением Арбитражного суда Северо-Западного округа от 27.10.2021, иск удовлетворен. В кассационной жалобе общество «М-Сервис», являющееся конкурсным кредитором ответчика, просит об отмене судебных актов, ссылаясь на рассмотрение дела судом в незаконном составе.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ответчик не заявил возражений в отношении прибегания истца к компетенции Арбитражного суда города Санкт-Петербурга и Ленинградской области (по месту нахождения ответчика) на рассмотрение данного спора, что правильно квалифицировано судами в качестве изменения сторонами согласованной в договоре подсудности. Принятие к производству дела по установленной законом подсудности (статья 35 Арбитражного процессуального кодекса Российской Федерации – по месту нахождения ответчика) не может быть отнесено к рассмотрению дела незаконным составом суда, а связанные с ним доводы – к создающим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