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03.11.2020, оставленным без изменения постановлением Четвертого арбитражного апелляционного суда от 22.04.2021 и постановлением Арбитражного суда Восточно-Сибирского округа от 20.10.2021, признано недействительным решение об оценке имущества должника от 20.09.2019 и утверждено Положение в редакции, предложенной финансовым управляющим, с изложением в разделе 2 «Термины и определения» абзацы 5 и 11 в иной редакции. В кассационной жалобе Федоткина Н.Г. просит об отмене судебных актов, ссылаясь на нарушение ее как бывшей супруги должника прав вследствие непривлечения к участию в споре и невозможность представления возражений в отношении оценки имущества и права на отчуждение его сторонним лицам.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Окончательная цена продажи имущества должника формируется в процессе торгов и заявитель как бывшая супруга должника имеет право на получение части средств от реализации этого имущества в порядке, предусмотренном пунктом 7 статьей 213.26 Федерального закона от 26.10.2002 № 127-ФЗ «О несостоятельности (банкротстве)», и это право не обусловлено участием в споре об утверждении Положения.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Федоткиной Н.Г.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