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07.06.2021, оставленным без изменения постановлением Девятнадцатого арбитражного апелляционного суда от 29.07.2021, в удовлетворении требований отказано. 2 Постановлением Арбитражного суда Центрального округа от 22.10.2021 указанные судебные акты оставлены без изменения. Общество просит обжалуемые судебные акты отменить, считая их принятыми с существенным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113, 208 Арбитражного процессуального кодекса Российской Федерации, статьи 30.3 Кодекса Российской Федерации об административных правонарушениях, суды отказали в удовлетворении требования, признав срок на обращение в суд с заявлением об оспаривании постановления по делу об административном правонарушении пропущенным, и отсутствие уважительных причин для восстановления указанного срока. Доводы, изложенные в жалобе, приводились при рассмотрении дела, получили исчерпывающую правовую оценку с учетом установленных обстоятельств, связанных с направлением административным органом постановления по делу об административном правонарушении по юридическому адресу общества и необеспечением обществом получения почтовой корреспонденции, не согласиться с которой оснований не имеется.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