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Красноярского края от 14.03.2019 в удовлетворении заявления Позднякова А.В. о включении в реестр должника требования в размере 14 089 315 рублей отказано. Рагулин А.П. (кредитор) обратился с заявлением о взыскании с Позднякова А.В. 171 500 рублей судебных расходов, понесенных в связи с рассмотрением заявления о включении требования в реестр. Определением Арбитражного суда Красноярского края от 28.12.2020, оставленным без изменения постановлением Третьего арбитражного апелляционного суда от 12.03.2021 и постановление Арбитражного суда Восточно-Сибирского округа от 16.09.2021, с Позднякова А.В. в пользу Рагулина А.П. взыскано 105 000 рублей судебных расходов. В кассационной жалобе Братанов В.П. просит о пересмотре судебных актов, ссылаясь на неправильную оценку доказательств и наличие основания для оставления заявления без рассмотрения.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доказательств отнесена к компетенции судов первой и апелляционной инстанций и не попадает под основания для кассационного пересмотра судебных актов. Вопрос о сроке подачи заявления о взыскании судебных расходов не обсуждался в судах, поэтому не может подниматься в кассационном производстве.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Братанову Владимиру Прокопьевичу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