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её требования в размере 95 000 000 рублей основного долга и 15 090 740 рублей 14 копеек процентов за пользование чужими денежными средствами. Определением Арбитражного суда города Москвы от 09.04.2021 требование признано обоснованным и включено в третью очередь реестра. Постановлением Девятого арбитражного апелляционного суда от 02.07.2021, оставленным без изменения постановлением Арбитражного суда Московского округа от 01.10.2021, данное определение изменено, требование компании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19, 71, 100, 142 Федерального закона от 26.10.2002 № 127-ФЗ «О несостоятельности (банкротстве)», пунктами 3.2, 3.3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от 29.01.2020, исходили из того, что компания, ранее являвшаяся бывшим мажоритарным участником должника, не принимала мер к истребованию задолженности, тем самым предоставив ему компенсационное финансирование в период имущественного кризиса, в связи с чем понизили очерёдность удовлетворения её требования. Выводы судов апелляционной инстанции и округа соответствуют нормам права, оснований для переоценки выводов судов по доводам жалобы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Истерн Бэвэридж Компани Лимитед (ЕВС Eastern Beverage Company Ltd the Republic of Cyprus)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