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16.03.2021 в удовлетворении заявления отказано. Семнадцатый арбитражный апелляционный суд постановлением от 04.06.2021 отменил определение от 16.03.2021 и включил требование Гайдук О.Л. в размере 761 405 рублей основного долга и 196 133 рублей 99 копеек процентов за пользование чужими денежными средствами в третью очередь реестра. Арбитражный суд Уральского округа постановлением от 08.09.2021 постановление апелляционного суда от 04.06.2021 оставил без изменения. В кассационной жалобе Медведева Н.П. просит об отмене судебных актов апелляционного и окружного судов, ссылаясь на несоответствие их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применительно к критериям установления обоснованности требований, следующим из статей 71, 100 Федерального закона от 26.10.2002 № 127-ФЗ «О несостоятельности (банкротстве)» и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 надлежаще подтвержденными для включения в реестр требования, возникающие из договора с кредитором. Требование переоценки поведения должника при осуществлении деятельности по приобретению дебиторской задолженности и условий заключенного с кредитором договора,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Медведевой Н.П.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