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Московской области от 15.01.2021, оставленным без изменения постановлением Десятого арбитражного апелляционного суда от 27.05.2021, иск удовлетворен. Арбитражный суд Московского округа постановлением от 16.09.2021 решение от 15.01.2021 и постановление апелляционного суда от 27.05.2021 оставил без изменения. В кассационной жалобе акционерное общество «ГЛИМС-Продакшн» просит об отмене судебных актов, ссылаясь на ошибочное определение тарифного класса груза и производный от него неверный расчет провозной платы и штрафов, нерассмотрение апелляционным судом ходатайства о приобщении дополнительных доказательств.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Непринятие довода заявителя о тарифном классе груза получило мотивированное обоснование. Вопрос о принятии дополнительных доказательств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«ГЛИМС-Продакшн»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