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18.05.2021, оставленным без изменения постановлением Пятнадцатого арбитражного апелляционного суда от 12.07.2021, признан недействительным договор дарения доли в праве на квартиру от 26.09.2016, заключенный должником с Кирсановой Н.Г., последняя обязана возвратить в конкурсную массу должника ¼ доли в праве на квартиру, расположенную по адресу: Московская область, Наро-Фоминский район, пос. Калининец, д. 264, кв. 99. Арбитражный суд Северо-Кавказского округа постановлением от 21.09.2021 отменил определение от 18.05.2021 и постановление апелляционного суда от 12.07.2021 и отказал в удовлетворении заявления. В кассационной жалобе Проскурин И.С. просит об отмене постановления окружного суда, ссылаясь на отсутствие оснований для отмены судебных актов нижестоящих инстанций.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неправильное применение общих норм гражданского законодательства (статей 10 и 168 Гражданского кодекса Российской Федерации) к исследованным судами обстоятельствам заключения сделки, указывающим на непопадание их под основания недействительности по законодательству о банкротстве в связи с отсутствием пороков, выходящих за пределы дефектов сделок с предпочтением и подозрительных сделок, поэтому отменил судебные акты в силу статей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Проскурину И.С.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