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04.03.2021, оставленным без изменения постановлением Семнадцатого арбитражного апелляционного суда от 09.06.2021 и постановлением Арбитражного суда Уральского округа от 30.09.2021, иск удовлетворен. В кассационной жалобе общество «Уренгойдорстрой» просит об отмене судебных актов, ссылаясь на неверный расчет штрафа.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договорный характер ответственности и нарушение ответчиком обязательства, за которые она применяется, поэтому удовлетворили иск в соответствии с договором от 26.01.2017 № 96 НЛКА и статьями 309, 310, 329, 330 Гражданского кодекса Российской Федерации. Оспаривание размера требований на стадии кассационного производства не попадает под основания для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«Уренгойдорстрой»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