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29.04.2021, оставленным без изменения постановлением Десятого арбитражного апелляционного суда от 09.06.2021, в удовлетворении заявления отказано. Арбитражный суд Московского округа постановлением от 14.09.2021 определение от 29.04.2021 и постановление Десятого арбитражного апелляционного суда от 09.06.2021 оставил без изменения. В кассационной жалобе Извеков К.А. просит об отмене судебных актов, ссылаясь на игнорирование наличия у должника обязательств в связи с деятельностью контролируемого юридического лица на момент продажи квартиры и продажу ее по не соответствующей рыночной цене.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реальную цену продажи квартиры и получение денег в полном размере от покупателя, подтвержденное поступлением их на банковский счет должника, что не исключает обращение на них будущих притязаний кредиторов, поэтому не установили условий для недействительности сделки в силу статей 10, 168 Гражданского кодекса Российской Федерации. Иная оценка заявителем обстоятельств спора и представленных доказательств, к которой сводятся доводы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Извекову К.А.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