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26.01.2021 иск удовлетворен. Постановлением Семнадцатого арбитражного апелляционного суда от 28.04.2021, оставленным без изменения постановлением Арбитражного суда Уральского округа от 28.09.2021, принят отказ от иска в части взыскания 1 089 000 рублей, решение в указанной части отменено с прекращением производства по делу, с общества «Уренгойдорстрой» взыскано 1 680 000 рублей штрафа. В кассационной жалобе общество «Уренгойдорстрой» просит об отмене судебных актов, ссылаясь на неверный расчет штрафа.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договорный характер ответственности и нарушение ответчиком обязательства, за которые она применяется, поэтому удовлетворили иск в соответствии с договором поставки от 26.01.2017 № 96 НЛКА и статьями 309, 310, 329, 330 Гражданского кодекса Российской Федерации. Оспаривание размера требований на стадии кассационного производства не попадает под основания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«Уренгойдорстрой»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