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26.04.2021, оставленным без изменения постановлением Двадцать первого арбитражного апелляционного суда от 06.07.2021, оспариваемое постановление признано 2 незаконным и отменено в части назначенного наказания, размер административного штрафа снижен до 125 000 рублей. Постановлением Арбитражного суда Центрального округа от 07.10.2021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положениями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Правил и норм технической эксплуатации жилищного фонда, утвержденных постановлением Госстроя Российской Федерации от 27.09.2003 № 170, Правил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требований. 3 Суды признали, что процедура и срок давности привлечения к ответственности соблюдены, оснований для применения статьи 2.9 Кодекса Российской Федерации об административных правонарушениях не выявлено. Штраф снижен судом ниже низшего размера санкции нормы.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