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15.04.2021, оставленным без изменения постановлением Семнадцатого арбитражного 2 апелляционного суда от 22.06.2021, оспариваемое постановление признано незаконным и отменено в связи с признанием правонарушения малозначительным. Постановлением Арбитражного суда Уральского округа от 21.09.2021 указанные судебные акты оставлены без изменения. Общество обратилось в Верховный Суд Российской Федерации с кассационной жалобой, в которой просит состоявшиеся по делу судебные акты отменить, считая их незаконными и необоснованными.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не установлено. Как следует из судебных актов, административным органом выявлено нарушение обществом порядка и сроков раскрытия информации, а именно подпункта «а» пункта 12, подпункта «к» пункта 19 Стандартов раскрытия информации субъектами оптового и розничных рынков электрической энергии, утвержденных постановлением Правительства Российской Федерации от 21.01.2004 № 24. Статьей 9.15 Кодекса Российской Федерации об административных правонарушениях установлена административная ответственность за нарушение субъектом оптового рынка электрической энергии и мощности или розничного рынка электрической энергии установленных стандартами раскрытия информации порядка, способов или сроков опубликования информации либо предоставление заведомо ложной информации в печатных 3 изданиях, в которых в соответствии с федеральными законами и законами субъектов Российской Федерации публикуются официальные материалы органов государственной власти, в электронных средствах массовой информации, а также нарушение порядка, способов или сроков предоставления информации по письменному запросу заинтересованных лиц. Оценив представленные доказательства, руководствуясь положениями Стандартов раскрытия информации субъектами оптового и розничных рынков электрической энергии, утвержденных постановлением Правительства Российской Федерации от 21.01.2004 № 24, суды пришли к выводу о наличии в действиях общества состава правонарушения, ответственность за которое установлена статьей 9.15 Кодекса Российской Федерации об административных правонарушениях, однако признали правонарушение малозначительным, освободив общество от ответственности. Процедура и срок давности привлечения к ответственности соблюдены. Доводы жалобы повторяют позицию общества по делу, являлись предметом исследования судов и получили исчерпывающую правовую оценку, не согласиться с которой по доводам жалобы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4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