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17.02.2021 исковое заявление удовлетворено. Постановлением Девятого арбитражного апелляционного суда от 10.06.2021, оставленным без изменения постановлением Арбитражного суда Московского округа от 16.09.2021, решение суда первой инстанции отменено, в удовлетворении искового заявления отказано. 2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апелляционного суда и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22.08.2018 учреждением (заказчик) и обществом (поставщик) заключен государственный контракт на поставку альпинистского снаряжения с учетом дополнительного соглашения № 1 от 28.08.2018 на сумму 27 862 492 рубля 36 копеек. В установленный контрактом срок поставщик товар не поставил, в связи с чем 01.12.2018 заказчиком принято решение об одностороннем отказе от исполнения контракта. Законность данного решения установлена решением Арбитражного суда города Москвы от 22.11.2019 № А40-200088/2019. Впоследствии, 09.10.2019 учреждением и ООО «ТимберТранс» заключен контракт в редакции дополнительного соглашения от 26.11.2019 № 1 на поставку альпинистского снаряжения на сумму 18 188 189 рублей 75 копеек. В соответствии с пунктом 9.9 контракта от 22.08.2018 поставщик, не выполнивший обязательство по контракту, обязан возместить заказчику сумму понесенного ущерба, определяемую как разницу между стоимостью товара, закупленного по новому контракту, и стоимостью, не поставленного товара по расторгнутому контракту. Полагая, что заказчиком понесены убытки в заявленном размере, учреждение направило обществу претензию, которая оставлена без удовлетворения. Указанные обстоятельства послужили основанием для обращения учреждения в арбитражный суд. Удовлетворяя заявление, суд первой инстанции пришел к выводу о доказанности истцом наличия причинно-следственной связи между действиями общества и возникшими у заявителя убытками. 3 Отменяя решение суда и отказывая в иске, суд апелляционной инстанции, исследовав и оценив представленные в материалы дела доказательства,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пришел к выводу об отсутствии оснований для взыскания с ответчика заявленной суммы убытков, с чем согласился суд округа. Судебные инстанции указали, что из условий контрактов не усматривается, что товар, поставленный по второму контракту, является аналогичным по характеру и происхождению с товаром, который должен был быть поставлен по первоначальному контракту с ответчиком, в связи с чем исходили из недоказанности в рассматриваемой ситуации совокупности обстоятельств, необходимых для привлечения ответчика к гражданско- правовой ответственности в виде возмещения убытков.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«Центральное окружное управление материально-технического снабжения Министерства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