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Оренбургской области от 05.05.2021 включено в третью очередь реестра требование в размере 304 471 рубля 68 копеек. Восемнадцатый арбитражный апелляционный суд постановлением от 06.07.2021 изменил определение от 05.05.2021, признав требование установленным в размере 301 548 рублей 45 копеек и подлежащим включению в третью очередь реестра. Арбитражный суд Уральского округа постановлением от 21.09.2021 постановление апелляционного суда от 06.07.2021 оставил без изменения. В кассационной жалобе Шумихина Л.Г. просит об отмене судебных актов, ссылаясь на неверное определение размера задолженности, злоупотребление кредитором правом и предоставление им заведомо ложной информации в обоснование заявленного требования.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2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наличие судебного акта суда общей юрисдикции и соответствие задолженности критериям статей 16, 71, 100, 142, 201.1 Федерального закона от 26.10.2002 № 127-ФЗ «О несостоятельности (банкротстве)» для признания требования обоснованным и включения в реестр. Довод о размере задолженности был рассмотрен и разрешен апелляционным судом. Злоупотребления правом со стороны кредитора и предоставление им заведомо ложной информации в обоснование заявленного требования при рассмотрении данного спора судами не установлено.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Шумихиной Л.Г.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