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20.02.2021, оставленным без изменения постановлением Семнадцатого арбитражного апелляционного суда от 19.05.2021 и постановлением Арбитражного суда Уральского округа от 01.10.2021, иск удовлетворен.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которое она применяется, поэтому удовлетворили иск в соответствии с договором от 26.01.2017 № 96НЛКА и статьями 309, 310, 329, 330 Гражданского кодекса Российской Федерации. Оспаривание размера требований на стадии кассационного производства не попадает под основания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