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Московской области от 07.04.2021, оставленным без изменения постановлением Десятого арбитражного апелляционного суда от 28.07.2021 и постановлением Арбитражного суда Московского округа от 20.10.2021, с управления в пользу общества взыскано 126 951 235 руб. 73 коп. расходов на реализацию инвестиционного контракта, в удовлетворении остальной части 2 требований к управлению и в удовлетворении требований к учреждению отказано. В кассационной жалобе, поданной в Верховный Суд Российской Федерации, управление, ссылаясь на нарушение судами норм материального и процессуального права, просит отменить указанные судебные акты в части удовлетворения исковых требований и принять новый судебный акт об отказе в их удовлетворении.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(инвестор) управление (распорядитель) и учреждение 30.10.2006 заключили инвестиционный контракт № УД-276д (в редакции дополнительных соглашений, далее - контракт), предметом которого являлась реализация проекта по восстановлению (реконструкции) нежилого здания. Ссылаясь на несение расходов во исполнение условий контракта, реализация которого стала невозможной в результате неправомерных действий ответчиков, общество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контракта по правилам статьи 431 Гражданского кодекса Российской Федерации, суды первой и апелляционной инстанций указали, что сложившиеся между сторонами отношения регулируются нормами глав 30, 55 Гражданского кодекса Российской Федерации, Федеральным законом от 25.02.1999 № 39-ФЗ «Об инвестиционной деятельности в Российской Федерации, осуществляемой в форме капитальных вложений» (далее - Закон № 39-ФЗ) и Федеральным законом РСФСР от 26.06.1991 № 1488-1 «Об инвестиционной деятельности в РСФСР», действующим в части норм, не противоречащих Закону № 39-ФЗ. Установив, что ответчики не подписали протокол предварительного распределения площадей объекта и не направили истцу замечаний и разногласий относительно содержания представленного для подписания протокола, суды констатировали, что дальнейшая реализация контракта невозможна. Проанализировав действия ответчиков, учитывая отсутствие их воли на продолжение договорных отношений, суды пришли к выводу, что контракт прекратил свое действие и, не установив вины истца в недостижении результатов инвестиционной деятельности, признали наличие 3 у управления, как распорядителя реконструируемым объектом, обязанности по возмещению затрат инвестора, возникших при реализации контракта, в удовлетворенном размере.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делами Президента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