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от 16.04.2021, оставленным без изменения постановлением Первого арбитражного апелляционного суда от 11.06.2021, заявленное требование удовлетворено. 2 Постановлением Арбитражного суда Волго-Вятского округа от 13.09.2021 указанные судебные акты оставлены без изменения. В кассационной жалобе заявитель просит отменить указанные судебные акты, считая их незаконными и необоснованными,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привлечения к ответственности послужил установленный административным органом факт нарушения обществом установленных требований к раскрытию информации. Статьей 9.15 КоАП РФ предусмотрена административная ответственность за 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порядка, способов или сроков опубликования информации в печатных изданиях,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власти, в электронных средствах массовой информации, а также порядка, способов или сроков предоставления информации по письменному запросу заинтересованных лиц. Оценив представленные доказательства, руководствуясь положениями Федерального закона от 26.03.2003 № 35-ФЗ «Об электроэнергетике», Стандартов раскрытия информации субъектами оптового и розничных рынков электрической энергии, утвержденных постановлением Правительства Российской Федерации от 21.01.2004 № 24, суды пришли к выводу об отсутствии в действиях общества состава административного правонарушения, ответственность за совершение которого предусмотрена статьей 9.15 КоАП РФ. 3 Доводы, изложенные в кассационной жалобе, относительно исчисления срока размещения информации являлись предметом рассмотрения судов, им дана надлежащая правовая оценка, выводы судов они не опровергают. Несогласие заявителя с толкованием судебными инстанциями норм действующего законодательства, подлежащих применению к спорным правоотношениям,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изложенного,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