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02.02.2021, оставленным без изменения постановлениями Второго арбитражного апелляционного суда от 25.05.2021 и Арбитражного суда Волго-Вятского округа от 21.09.2021, в удовлетворении иска отказано. В кассационной жалобе, поданной в Верховный Суд Российской Федерации, учреждение ставит вопрос об отмене принятых по делу судебных 2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(арендодатель) и учреждением (арендатор) заключен государственный контракт на оказание услуг аренды автоматизированной системы весогабаритного контроля. Учреждение, ссылаясь на ненадлежащее исполнение обществом обязательств по контракту (обязанность арендодателя по обеспечению в период всего срока оказания услуг аренды работоспособности и функционирования системы весогабаритного контроля), обратилось в арбитражный суд с требованием о взыскании пеней. Оценив представленные в материалы дела доказательства, суды, руководствуясь положениями статей 309, 310, 329, 330, 431 Гражданского кодекса Российской Федерации, пришли к выводу об отсутствии оснований для возложения на общество гражданско-правовой ответственности в виде выплаты пеней. Судебные инстанции исходили из того, что неработоспособность системы весогабаритного контроля, вызванная изменением законодательства, как объективная причина, не зависящая от воли арендодателя, не может быть отнесена к частичной и длительной неработоспособности системы по смыслу контракта. При исследовании обстоятельств дела установлено, что необходимость модернизации системы связана с принятием постановления Правительства Российской Федерации от 31.01.2020 № 67 «Об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Федерации» и приказа Министерства транспорта Российской Федерации от 05.06.2019 № 167 «Об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средства»; данные нормативные правовые акты требовали внесения изменения в программное обеспечение, однако вступили в силу в процессе функционирования 3 переданного в аренду имущества (системы весогабаритного контроля) и не могли быть известны обществу либо заранее оговорены в контракте; изменение правового регулирования вопросов применения системы весогабаритного контроля не зависит от воли арендодателя, в связи с чем необходимость модернизации по такой причине не может быть расценена как нарушение или ненадлежащее исполнение договора; на момент принятия системы весогабаритного контроля в аренду она соответствовала требованиям контракта; приведение в соответствие с действующим законодательством сложного программного комплекса не может быть осуществлено единовременно, а требует существенных временных и имущественных затрат.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Коми «Дорожный контроль»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