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04.02.2021, оставленным без изменения постановлениями Тринадцатого арбитражного апелляционного суда от 24.05.2021 и Арбитражного суда Северо-Западного округа от 29.09.2021, исковое требование удовлетворено. В кассационной жалобе, поданной в Верховный Суд Российской Федерации, министерство ставит вопрос об отмене принятых по делу судебных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осуществляет деятельность по перевозке пассажиров и багажа на городских регулярных троллейбусных и автобусных маршрутах согласно утвержденным паспортам, схемам маршрутов и расписанию. Ссылаясь на возникновение убытков (недополученного дохода) в размере 5 306 813 рублей 64 копеек, возникших в связи с наличием межтарифной разницы (разницы между установленным регулируемым тарифом на перевозки пассажиров и багажа 37 рублей 49 копеек, отражающим себестоимость одной перевозки пассажира и багажа для общества, и определенным тарифом на перевозки для пассажиров 33 рубля), общество в целях их возмещения направило в адрес министерства претензию, которая была оставлена без удовлетворения, что послужило основанием для обращения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15, 16, 789, 790, 1064, 1069 Гражданского кодекса Российской Федерации, статей 86, 78, 158 Бюджетного кодекса Российской Федерации, подпункта 12 пункта 2 статьи 26.3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пунктов 17, 18 части 1 статьи 3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Закона Мурманской области от 13.07.2009 № 1133-01-ЗМО «Об организации транспортного обслуживания населения на территории Мурманской области», Закона Мурманской области от 26.10.2007 № 901-01-ЗМО «О предоставлении льготного проезда на городском электрическом и автомобильном транспорте общего пользования обучающимся государственных областных и муниципальных образовательных организаций Мурманской области», разъяснениями Пленума Высшего Арбитражного Суда Российской Федерации, изложенными в пунктах 16, 19 постановления от 22.06.2006 № 23 «О некоторых вопросах применения арбитражными судами 3 норм Бюджетного кодекса Российской Федерации», суды пришли к выводу о наличии оснований для удовлетворения иска. При этом судебные инстанции исходили из того, что финансирование льготного проезда обучающихся является расходным обязательством публично-правового образования Мурманская область, которое, являясь лицом, установившим право на льготный проезд по таким билетам, должно компенсировать обществу недополученный им доход в виде разницы между экономически обоснованным тарифом на перевозку и провозной платой, взимаемой с пассажиров, уменьшенной на сумму предоставленных им льгот. Доводы, изложенные в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дорожного хозяйства Мурманской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