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Леонов Г.В. обратился в суд с заявлением, в котором просил признать незаконным бездействие арбитражного управляющего Голошумовой Анны Валерьевны, взыскать с неё 4 861 800 рублей убытков. Определением Арбитражного суда Новосибирской области от 17.03.2020, оставленным без изменения постановлением Седьмого арбитражного апелляционного суда от 23.07.2020, заявление оставлено без удовлетворения. Постановлением Арбитражного суда Западно-Сибирского округа от 26.10.2020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Новосибирской области от 26.04.2021, оставленным без изменения постановлениями Седьмого арбитражного апелляционного суда от 19.08.2021 и Арбитражного суда Западно-Сибирского от 28.10.2021, в удовлетворении заявления отказано. В кассационной жалобе, поданной в Верховный Суд Российской Федерации, заявитель просит отменить принятые на новом рассмотрении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15, 393 Гражданского кодекса Российской Федерации, статьями 20.3, 20.4, 60, 129 Федерального закона от 26.10.2002 № 127-ФЗ «О несостоятельности (банкротстве)», пунктом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исходя из установленных по делу фактических обстоятельств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заявителем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Леонову Геннадию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