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25.05.2021, оставленным без изменения постановлением Двенадцатого арбитражного 2 апелляционного суда от 19.07.2021, в удовлетворении заявленные требований отказано. Постановлением Арбитражного суда Поволжского округа от 11.10.2021 указанные судебные акты оставлены без изменения. Общество просит обжалуемые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несоблюдение обществом обязательных требований промышленной безопасности при эксплуатации опасного производственного объекта, руководствуясь положениями Федерального закона от 21.07.1997 № 116-ФЗ «О промышленной безопасности опасных производственных объектов»,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9.1 Кодекса Российской Федерации об административных правонарушениях. Порядок и срок давности привлечения к административной ответственности соблюдены, оснований для признания совершенного правонарушения малозначительным не установлено. 3 Суды признали, что назначенное обществу наказание в минимальном размере санкции нормы отвечает принципам разумности и справедливости, соответствует тяжести совершенного правонарушения, и обеспечивает достижение целей административного наказания. Оснований для снижения размера административного наказания ниже низшего предела не установлено. Наличия исключительных обстоятельств, позволяющих снизить штраф,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Федерации. В данном случае таких оснований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