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2 317 489 329 рублей 70 копеек (по договору от 20.09.2010 – 2 314 133 798 рублей 50 копеек; по договору от 25.06.2015, дополнительному соглашению от 17.11.2016 – 3 355 531 рубль 20 копеек). Определением Арбитражного суда города Москвы от 24.12.2020 требование общества в заявленном размере включено в реестр. Постановлением Девятого арбитражного апелляционного суда от 02.07.2021, оставленным без изменения постановлением Арбитражного суда Московского округа от 17.09.2021, данное определение отменено в части требований в размере 2 299 419 532 рубля 37 копеек, в удовлетворении требований в указанной части отказано. В остальной части определение суда первой инстанции от 24.12.2020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отмены определения суда первой инстанции и отказа в удовлетворении части его требований на сумму 2 299 419 352 рубля 2 37 копеек, направить дело на новое рассмотрение в Арбитражный суд города Москвы.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195, 196, 200, 203 Гражданского кодекса Российской Федерации, статьями 71, 100, 142 Федерального закона от 26.10.2002 № 127-ФЗ «О несостоятельности (банкротстве)», исходили из того, что обоснованность одной части требований общества и сам факт возникновения на стороне должника обязанности по частичному возврату инвестиционного взноса не подтверждены документально, а по оставшейся оспариваемой части требований заявителем, наращивающим долг и не востребовавшим его ранее банкротства должника, пропущен срок исковой давности в отсутствие доказательств его прерывания.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«Мортон-РСО»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