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169 149 950 рублей 26 копеек основного долга и 17 183 935 рублей 55 копеек финансовых санкций. Определением Арбитражного суда Кемеровской области от 12.03.2021, оставленным без изменения постановлениями Седьмого арбитражного апелляционного суда от 11.06.2021 и Арбитражного суда Западно-Сибирского округа от 17.09.2021,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понижая очерёдность удовлетворения требования общества, суды, руководствуясь статьями 71, 100, 142, 148 Федерального закона от 26.10.2002 № 127-ФЗ «О несостоятельности (банкротстве)», пунктами 3.1 – 3.3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оно имело признаки компенсационного финансирования, предоставленного должнику в условиях имущественного кризиса и невостребованного на протяжении нескольких лет, в связи с чем не могло конкурировать с требованиями иных независимых кредиторов. Выводы судов соответствуют нормам права, оснований для переоценки этих выводов не имеется. Нарушений норм материального права и (или) норм процессуального права,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«Современные горные технологии»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