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22.01.2021, оставленным без изменения постановлением Второго арбитражного апелляционного суда от 22.04.2021, в удовлетворении заявления отказано. 2 Постановлением Арбитражного суда Волго-Вятского округа от 03.09.2021 указанные судебные акты оставлены без изменения. В кассационной жалобе заявитель просит отменить принятые по делу судебные акты, указывая на наличие оснований для привлечения общества к ответственности, предусмотренной частью 1 статьи 14.8 Кодекса Российской Федерации об административных правонарушениях.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Закона Российской Федерации от 07.02.1992 № 2300-1 «О защите прав потребителей», суды отказали в удовлетворении требований, признав правомерным отказ в возбуждении дела об административном правонарушении по части 1 статьи 14.8 Кодекса Российской Федерации об административных правонарушениях в связи с отсутствием в действиях общества состава административного правонарушения. Несогласие с указанными выводами судов не может быть признано основанием для пересмотра обжалуемых судебных актов в кассационном порядке.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Учитывая положения части 1 статьи 4.5 Кодекса Российской Федерации об административных правонарушениях относительно срока давности 3 привлечения к административной ответственности, передача кассационной жалобы в Судебную коллегию Верховного Суда Российской Федерации не приведет к защите прав заявителя.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