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Чеченской Республики от 12.03.2021 заявленные требования удовлетворены. 2 Определением Шестнадцатого арбитражного апелляционного суда от 30.04.2021 апелляционная жалоба административного органа на решение суда первой инстанции возвращена заявителю в связи с пропуском срока на апелляционное обжалование. Постановлением Арбитражного суда Северо-Кавказского округа от 13.09.2021 решение суда первой инстанции отменено, дело направлено на новое рассмотрение в арбитражный суд первой инстанции. Предприниматель обратился в Верховный Суд Российской Федерации с кассационной жалобой, в которой просит постановление суда округа отменить, считая его незаконным и необоснованным. Изучив изложенные в кассационной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Суд округа отменил решение суда первой инстанции, направил дело на новое рассмотрение, действуя в пределах полномочий, предоставленных ему статьей 287 Арбитражного процессуального кодекса Российской Федерации, по основаниям, предусмотренным статьей 288 названного Кодекса. При этом суд округа указал на неполное исследование судом всех значимых для дела обстоятельств, входящих в предмет доказывания, в том числе, относительно надлежащего извещения предпринимателя обо всех процессуальных действиях.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3 экономической деятельности, а также защита охраняемых законом публичных интересов.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 представлять доказательства, а также отстаивать свою позицию доступными процессуальными способами при новом рассмотрении спора,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Вопреки доводам жалобы суд округа принял кассационную жалобу административного органа к производству в соответствии с разъяснениями, изложенными в абзаце третьем пункта 4 постановления Пленума Верховного Суда Российской Федерации от 30.06.2020 № 13 «О применении Арбитражного процессуального кодекса Российской Федерации при рассмотрении дел в арбитражном суде кассационной инстанции». При этом направление апелляционной и кассационной жалоб Межрегиональным территориальным управлением Федеральной службы по надзору в сфере транспорта по Северо-Кавказскому федеральному округу, в структуру которого входит вынесший постановление по делу об административном правонарушении филиал, не свидетельствует о рассмотрении судами жалоб не привлеченного к участию в деле лица. При указанных обстоятельствах доводы жалобы не являются достаточными в целях передачи жалоб для рассмотрения в судебном заседании Судебной коллегии по экономическим спорам Верховного Суда Российской Федерации. Учитывая изложенное и руководствуясь статьями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