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03.06.2021, оставленным без изменения постановлением Двадцатого арбитражного апелляционного суда от 26.07.2021, в удовлетворении требования отказано. 2 Постановлением Арбитражного суда Центрального округа от 19.10.2021 указанные судебные акты оставлены без изменения. Банк в кассационной жалобе просит отменить состоявшиеся по делу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848, 854 Гражданского кодекса Российской Федерации, статьи 4 Закона РФ от 07.02.1992 № 2300-1 «О защите прав потребителей», суды пришли к выводу о наличии в действиях банка состава правонарушения, ответственность за которое предусмотрена частью 1 статьи 14.4 Кодекса Российской Федерации об административных правонарушениях, признав, что банком не исполнено распоряжение клиента банка по досрочному погашению кредита. Процедура и срок давности привлечения к административной ответственности соблюдены. Административное наказание назначено обществу в виде штрафа в минимальном размере санкции нормы. Основания для применения положений статей 2.9, 4.1, 4.1.1 Кодекса Российской Федерации об административных правонарушениях не выявлены.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