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31.03.2021, оставленным без изменения постановлением Четвертого арбитражного апелляционного суда от 10.06.2021, в удовлетворении заявленного требования отказано. 2 Постановлением Арбитражного суда Восточно - Сибирского округа от 21.09.2021 указанные судебные акты отменены, заявленное требование удовлетворено. Заявитель жалобы просит постановление суда округа отменить, считая его незаконным и необоснованным, решение суда первой и постановление суда апелляционной инстанций оставить в силе.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Основания для пересмотра судебных актов в кассационном порядке по доводам жалобы отсутствуют. Статьей 15.14 Кодекса Российской Федерации об административных правонарушениях предусмотрена административная ответственность за нецелевое использование бюджетных средств, выразившееся в направлении средств бюджета бюджетной системы Российской Федерации и оплате денежных обязательств в целях, не соответствующих полностью или частично целям, определенным законом (решением) о бюджете, сводной бюджетной росписью, бюджетной росписью, бюджетной сметой, договором (соглашением) либо иным документом, являющимся правовым основанием предоставления указанных средств, или в направлении средств, полученных из бюджета бюджетной системы Российской Федерации, на цели, не соответствующие целям, определенным договором (соглашением) либо иным документом, 3 являющимся правовым основанием предоставления указанных средств, если такое действие не содержит уголовно наказуемого деяния. Отменяя решение суда первой инстанции и постановление суда апелляционной инстанции, суд округа руководствовался положениями Бюджетного кодекса Российской Федерации, и исходил из того, что выводы судов о законности оспариваемого постановления основаны на доказательствах, полученных административным органом с нарушением бюджетного законодательства. Указанные выводы суда округа в жалобе не опровергнуты. При этом, исходя из вмененного правонарушения, образовательному учреждению вменяется нарушение соглашения, участником которого он не является. При указанных обстоятельствах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 в силу статьи 2916 Арбитражного процессуального кодекса Российской Федерации, в жалобе не приведено. Таким образом,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