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29.06.2021, оставленным без изменения постановлением Девятого арбитражного апелляционного суда от 02.09.2021 и постановлением Арбитражного суда Московского округа от 29.10.2021, в удовлетворении заявления отказано. В кассационных жалобах заявители просят об отмене судебных актов, ссылаясь на нарушение права на ознакомление с материалами спора и неоказание содействия в получении доказательств, неисследование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Суды, отказывая в удовлетворении заявления, учитывали оспаривание договора по общим нормам гражданского законодательства (статья 10 Гражданского кодекса Российской Федерации) и отсутствие необходимых для их применения условий. Действия судов, которые заявители считают процессуальными нарушениями, таковыми не являются и не влекут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Воробьевой Анне Сергеевне и обществу с ограниченной ответственностью «ГЛК Финанс»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