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23.04.2021, оставленным без изменения постановлением Седьмого арбитражного апелляционного суда от 28.06.2021 и постановлением Арбитражного суда Западно-Сибирского округа от 16.09.2021, в удовлетворении заявления отказано. В кассационной жалобе общество просит об отмене судебных актов, ссылаясь на неосновательные выводы судов об обстоятельствах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Общество в нарушение части 1 статьи 291.1 и пункта 5 части 1 статьи 291.5 Арбитражного процессуального кодекса Российской Федерации не обосновывает нарушения его прав соглашением от 21.09.2017, учитывая, что оно заключено с кредитором, имеющим преимущественное перед обществом право на удовлетворение требований в процессе банкротства должника.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«Ливэка»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