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17.05.2021, оставленным без изменения постановлением Первого арбитражного апелляционного суда от 26.07.2021 и постановлением Арбитражного суда Волго-Вятского округа от 09.11.2021, в удовлетворении жалобы отказано. В кассационной жалобе Козлов В.Е. просит о пересмотре судебных актов, ссылаясь на неправильное определение срока направления ему отчета.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Признав отсутствие обязанности финансового управляющего по представлению Козлову В.Е. отчета за третий квартал 2020 года, учитывая включение в реестр его требования в четвертом квартале 2020 года и наличие иной возможности получения информации о ходе процедуры банкротства должника, суды отказали в удовлетворении жалобы в силу статьей 20.3, 60, 213.9 Федерального закона от 26.10.2002 № 127-ФЗ «О несостоятельности (банкротстве)» и их судебного толкования. Иная оценка заявителем действий управляющего носит субъективный характер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Владимиру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