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28.04.2021, оставленным без изменения постановлением Восемнадцатого арбитражного апелляционного суда от 06.07.2021 и постановлением Арбитражного суда Уральского округа от 13.09.2021, в удовлетворении заявления отказано. В кассационной жалобе Варшавский Г.Б. просит об отмене судебных актов, ссылаясь на нарушение единообразия судебной практики.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правомерно применили к правоотношениям, связанным с выплатой пенсии, нормы Федерального закона от 28.12.2013 № 400-ФЗ «О страховых пенсиях», не предусматривающие изменение порядка выплаты и доставки пенсии при введении в отношении гражданина процедур банкротства.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Варшавскому Г.Б.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