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Алтайского края от 16.03.2021, оставленным без изменения постановлением Седьмого арбитражного апелляционного суда от 08.06.2021, заявление удовлетворено в части взыскания 180 000 рублей вознаграждения и 14 244 рублей 22 копеек расходов. Арбитражный суд Западно-Сибирского округа постановлением от 11.10.2021 определение от 16.03.2021 и постановление Седьмого арбитражного апелляционного суда от 08.06.2021 оставил без изменения. В кассационной жалобе Рохин С.С. просит об отмене судебных актов, ссылаясь на неосновательное снижение вознаграждения.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 определении размера вознаграждения арбитражного управляющего суды руководствовались правовым характером вознаграждения, следующим из пункта 5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и статьями 20.6, 59, 213.5 Федерального закона от 26.10.2002 № 127-ФЗ «О несостоятельности (банкротстве)», содержащими критерии для установления вознаграждения. Требования заявителя о пересмотре компетентного усмотрения судов в вопросе установления вознаграждения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Рохину С.С.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