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11.03.2021, оставленным без изменения постановлением Десятого арбитражного апелляционного суда от 24.05.2021 и постановлением Арбитражного суда Московского округа от 13.09.2021, с управления в пользу общества взыскано 1 204 015 руб. 10 коп. задолженности, 106 685 руб. 68 коп. пеней, в удовлетворении остальной части требований отказано. В кассационной жалобе, поданной в Верховный Суд Российской Федерации, управление, ссылаясь на нарушение судами норм материального права, несоответствие выводов судов фактическим обстоятельствам дела, просит отменить указанные судебные акты и принять по делу новый судебный акт о частичном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спорных услуг и отсутствие доказательств их оплаты управлением, руководствуясь статьями 309, 310, 720, 721, 753, 779, 791, 783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 с учетом корректировки суммы пеней.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«Управление жилищного хозяйства»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