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09.03.2021, оставленным без изменения постановлением Девятого арбитражного апелляционного суда от 07.06.2021, в удовлетворении иска отказано. Постановлением Арбитражного суда Московского округа от 14.09.2021 решение суда первой инстанции и постановление суда апелляционной инстанции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судебные акты судов первой и апелляционной инстанций и направляя дело на новое рассмотрение, суд округа, не принимая какого-либо решения по существу спора, указал, что выводы судов не соответствуют фактическим обстоятельствам и имеющимся в деле доказательствам.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 Гарант»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