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05.03.2021, оставленным без изменения постановлением Девятого арбитражного апелляционного суда от 24.05.2021 и постановлением Арбитражного суда Московского округа от 13.09.2021, с общества в пользу компании взыскано 72 025 евро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решением Арбитражного суда города Москвы от 13.05.2019 по делу № А40-248878/2017, руководствуясь статьями 309, 310, 329, 330, 421, 457, 506 Гражданского кодекса Российской Федерации, констатировав факт нарушения обществом обязательств по спорному контракту, суды первой и апелляционной инстанций признали правомерным начисление компанией неустойки. Проверив представленный компанией расчет неустойки и скорректировав период ее начисления, суды удовлетворили иск частично, с чем впоследствии согласился суд округа.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«BOOST S.p.A»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