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29.03.2021, принятым в порядке упрощенного судопроизводства и оставленным без изменения постановлением Девятого арбитражного апелляционного суда от 28.06.2021, в удовлетворении иска отказано. Арбитражный суд Московского округа постановлением от 29.09.2021 отменил решение от 29.03.2021 и постановление Девятого арбитражного апелляционного суда от 28.06.2021 в части отказа во взыскании 60 000 рублей и удовлетворил иск на указанную сумму, в остальной части судебные акты оставил без изменения. В кассационной жалобе общество «Свектор+» просит об отмене постановления окружного суда в неудовлетворенной части иска, ссылаясь на отсутствие актов оказанных услуг на бумажном носителе и неразумность судебных расходов.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округа, установив несоответствие выводов нижестоящих судов исследованным обстоятельствам, указывающим на доказанность применительно к условиям договора от 08.10.2019 № 201910008 оказания услуг на сумму 180 000 рублей, в соответствии со статьями 779, 781 Гражданского кодекса Российской Федерации признал подлежащими взысканию 60 000 рублей неотработанного аванса. Судебные расходы не являются предметом обжалуемого судебного акта, поэтому связанный с ними довод не обсуждается при его проверке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«Свектор+»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