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27.11.2020 взыскано 2 698 807 рублей 15 копеек неосновательного обогащения и 17 914 рублей 77 копеек расходов на проведение экспертизы. При новом рассмотрении дела после отмены в кассационном порядке принятого постановления Одиннадцатый арбитражный апелляционный суд постановлением от 29.07.2021 изменил решение от 27.11.2020, взыскав 1 311 872 рубля 84 копейки неосновательного обогащения и расходов на экспертизы. Арбитражный суд Поволжского округа постановлением от 29.10.2021 постановление Одиннадцатого арбитражного апелляционного суда от 29.07.2021 оставил без изменения. В кассационной жалобе общество «Премьер-Транс» просит об отмене постановлений апелляционного и окружного судов, оспаривая отдельные позиции, примененные при расчете сальдо встречных обязательств.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Возражения, связанные с определением итогового размера сальдо встречных обязательств в связи с прекращением договора лизинга от 18.09.2017 № 993/17-5, рассмотрены судами и в кассационной инстанции не создают оснований к пересмотру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«Премьер-Транс»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