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«Винный Город» подало кассационную жалобу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Жалоба принята с нарушением указанной нормы, поэтому производство по ней подлежит прекращению применительно к пункту 1 части 1 статьи 150 Арбитражного процессуального кодекса Российской Федерации. В связи с подачей документов в электронном виде кассационная жалоба и уплаченная за ее подачу государственная пошлина настоящим определением не возвращаются. Руководствуясь статьями 150, 184 Арбитражного процессуального кодекса Российской Федерации, судья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«Винный Город» на определение Арбитражного суда города Москвы от 28.05.2021 по делу № А40-56019/2021, постановление Девятого арбитражного апелляционного суда от 01.07.2021 и постановление Арбитражного суда Московского округа от 12.08.2021 по тому же делу прекратить.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