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Тыва от 29.04.2021, оставленным без изменения постановлением Третьего арбитражного апелляционного суда от 18.08.2021, в удовлетворении требований отказано. Постановлением Арбитражного суда Восточно-Сибирского округа от 25.10.2021 указанные судебные акты оставлены без изменения. Общество просит обжалуемые судебные акты отменить,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невозможна, в том числе, защита нарушенных прав, свобод, законных интересов в сфере предпринимательской и иной экономической деятельности.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доказательства, суды пришли к выводу о том, что общество обратилось в арбитражный суд с заявлением об оспаривании постановления о привлечении к административной ответственности со значительным пропуском предусмотренного частью 2 статьи 208 Арбитражного процессуального кодекса Российской Федерации срока. 3 Приводимые обществом причины несвоевременного обращения в суд рассмотрены судами и признаны неуважительными. Доказательств того, что, действуя разумно и добросовестно, общество столкнулось с обстоятельствами, объективно воспрепятствовавшими своевременному направлению заявления и ограничивающими возможность совершения соответствующего процессуального действия в отведенный срок, не представлено и судами таких обстоятельств не установлено. Доводы жалобы были предметом исследования судов и мотивированно отклонены, направлены на переоценку доказательств и установление иных фактических обстоятельств дела,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