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26.08.2021, в удовлетворении требований отказано. Постановлением Арбитражного суда Восточно-Сибирского округа от 27.10.2021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постановление инспекции было получено обществом 29.05.2020 и 03.06.2020, в то время как с заявлением об оспаривании указанного постановления общество обратилось в арбитражный суд только 06.01.2021,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о привлечении к административной ответственности. 3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